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D9" w:rsidRDefault="009B598E">
      <w:pPr>
        <w:rPr>
          <w:rFonts w:ascii="Century Gothic" w:hAnsi="Century Gothic"/>
        </w:rPr>
      </w:pPr>
      <w:r>
        <w:rPr>
          <w:rFonts w:ascii="Century Gothic" w:hAnsi="Century Gothic"/>
        </w:rPr>
        <w:t>30 mars 2017</w:t>
      </w:r>
    </w:p>
    <w:p w:rsidR="009B598E" w:rsidRDefault="009B598E">
      <w:pPr>
        <w:rPr>
          <w:rFonts w:ascii="Century Gothic" w:hAnsi="Century Gothic"/>
        </w:rPr>
      </w:pPr>
    </w:p>
    <w:p w:rsidR="009B598E" w:rsidRPr="006D263B" w:rsidRDefault="009B598E">
      <w:pPr>
        <w:rPr>
          <w:rFonts w:ascii="Century Gothic" w:hAnsi="Century Gothic"/>
          <w:b/>
        </w:rPr>
      </w:pPr>
      <w:r w:rsidRPr="006D263B">
        <w:rPr>
          <w:rFonts w:ascii="Century Gothic" w:hAnsi="Century Gothic"/>
          <w:b/>
        </w:rPr>
        <w:t>Les outils au service du suivi de la santé au travail</w:t>
      </w:r>
    </w:p>
    <w:p w:rsidR="009B598E" w:rsidRPr="006D263B" w:rsidRDefault="009B598E">
      <w:pPr>
        <w:rPr>
          <w:rFonts w:ascii="Century Gothic" w:hAnsi="Century Gothic"/>
          <w:i/>
        </w:rPr>
      </w:pPr>
      <w:r w:rsidRPr="006D263B">
        <w:rPr>
          <w:rFonts w:ascii="Century Gothic" w:hAnsi="Century Gothic"/>
          <w:i/>
        </w:rPr>
        <w:t xml:space="preserve">Intervenante : Marion MILLIOT, </w:t>
      </w:r>
      <w:proofErr w:type="spellStart"/>
      <w:r w:rsidRPr="006D263B">
        <w:rPr>
          <w:rFonts w:ascii="Century Gothic" w:hAnsi="Century Gothic"/>
          <w:i/>
        </w:rPr>
        <w:t>Snceel</w:t>
      </w:r>
      <w:proofErr w:type="spellEnd"/>
    </w:p>
    <w:p w:rsidR="009B598E" w:rsidRDefault="009B598E">
      <w:pPr>
        <w:rPr>
          <w:rFonts w:ascii="Century Gothic" w:hAnsi="Century Gothic"/>
        </w:rPr>
      </w:pPr>
    </w:p>
    <w:p w:rsidR="009B598E" w:rsidRPr="006D263B" w:rsidRDefault="009B598E">
      <w:pPr>
        <w:rPr>
          <w:rFonts w:ascii="Century Gothic" w:hAnsi="Century Gothic"/>
          <w:b/>
        </w:rPr>
      </w:pPr>
      <w:r w:rsidRPr="006D263B">
        <w:rPr>
          <w:rFonts w:ascii="Century Gothic" w:hAnsi="Century Gothic"/>
          <w:b/>
        </w:rPr>
        <w:t>Changements au 1</w:t>
      </w:r>
      <w:r w:rsidRPr="006D263B">
        <w:rPr>
          <w:rFonts w:ascii="Century Gothic" w:hAnsi="Century Gothic"/>
          <w:b/>
          <w:vertAlign w:val="superscript"/>
        </w:rPr>
        <w:t>er</w:t>
      </w:r>
      <w:r w:rsidRPr="006D263B">
        <w:rPr>
          <w:rFonts w:ascii="Century Gothic" w:hAnsi="Century Gothic"/>
          <w:b/>
        </w:rPr>
        <w:t xml:space="preserve"> janvier 2017 au sujet de la surveillance médicale des salariés.</w:t>
      </w:r>
    </w:p>
    <w:p w:rsidR="009B598E" w:rsidRDefault="009B598E" w:rsidP="009B598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9B598E">
        <w:rPr>
          <w:rFonts w:ascii="Century Gothic" w:hAnsi="Century Gothic"/>
          <w:u w:val="single"/>
        </w:rPr>
        <w:t>Lors de l’embauche</w:t>
      </w:r>
      <w:r>
        <w:rPr>
          <w:rFonts w:ascii="Century Gothic" w:hAnsi="Century Gothic"/>
        </w:rPr>
        <w:t> : suppression de la visite médicale  d’embauche  remplacée par une VIP (Visite d’Information et de Prévention)</w:t>
      </w:r>
    </w:p>
    <w:p w:rsidR="009B598E" w:rsidRDefault="009B598E" w:rsidP="009B598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Pour les salariés exposés </w:t>
      </w:r>
      <w:r w:rsidRPr="009B598E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contrôle d’aptitude obligatoire (ex. électriciens, employés de laboratoires, agents d’entretien utilisant des nacelles…).</w:t>
      </w:r>
      <w:r w:rsidR="00884E56">
        <w:rPr>
          <w:rFonts w:ascii="Century Gothic" w:hAnsi="Century Gothic"/>
        </w:rPr>
        <w:t xml:space="preserve"> A l’issue du contrôle, un avis d’aptitude ou d’inaptitude sera délivré.</w:t>
      </w:r>
    </w:p>
    <w:p w:rsidR="00884E56" w:rsidRDefault="00884E56" w:rsidP="009B598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Les visites périodiques </w:t>
      </w:r>
      <w:r>
        <w:rPr>
          <w:rFonts w:ascii="Century Gothic" w:hAnsi="Century Gothic"/>
        </w:rPr>
        <w:t>seront variables selon les salariés. Ces derniers bénéficieront d’un calendrier de visite correspondant à sa situation individuelle. Période maximale : 5 ans.</w:t>
      </w:r>
    </w:p>
    <w:p w:rsidR="00884E56" w:rsidRDefault="00884E56" w:rsidP="00884E56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Dérogations suivant les profils des salariés. 3 ans maxi pour les travailleurs de moins de 18 ans, les travailleurs handicapés et les travailleurs de nuit. 4 ans maxi pour les salariés bénéficiant d’une visite médicale d’aptitude.</w:t>
      </w:r>
    </w:p>
    <w:p w:rsidR="00884E56" w:rsidRDefault="00884E56" w:rsidP="00884E56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Visites de reprise : </w:t>
      </w:r>
      <w:r>
        <w:rPr>
          <w:rFonts w:ascii="Century Gothic" w:hAnsi="Century Gothic"/>
        </w:rPr>
        <w:t>inchangées.</w:t>
      </w:r>
    </w:p>
    <w:p w:rsidR="00884E56" w:rsidRDefault="00884E56" w:rsidP="00884E56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Visite de </w:t>
      </w:r>
      <w:proofErr w:type="spellStart"/>
      <w:r>
        <w:rPr>
          <w:rFonts w:ascii="Century Gothic" w:hAnsi="Century Gothic"/>
          <w:u w:val="single"/>
        </w:rPr>
        <w:t>préreprise</w:t>
      </w:r>
      <w:proofErr w:type="spellEnd"/>
      <w:r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suite à un arrêt de longue durée, elle s’effectuera avant la fin de l’arrêt de travail.</w:t>
      </w:r>
    </w:p>
    <w:p w:rsidR="00884E56" w:rsidRDefault="00884E56" w:rsidP="00884E56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Visites à la demande du salarié ou de l’employeur :</w:t>
      </w:r>
      <w:r>
        <w:rPr>
          <w:rFonts w:ascii="Century Gothic" w:hAnsi="Century Gothic"/>
        </w:rPr>
        <w:t xml:space="preserve"> dispositif inchangé.</w:t>
      </w:r>
    </w:p>
    <w:p w:rsidR="008469E3" w:rsidRDefault="008469E3" w:rsidP="00884E56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Les examens complémentaires :</w:t>
      </w:r>
      <w:r>
        <w:rPr>
          <w:rFonts w:ascii="Century Gothic" w:hAnsi="Century Gothic"/>
        </w:rPr>
        <w:t xml:space="preserve"> ils sont à la charge de l’employeur et sont prescrits par le médecin du travail.</w:t>
      </w:r>
    </w:p>
    <w:p w:rsidR="008469E3" w:rsidRPr="006D263B" w:rsidRDefault="008469E3" w:rsidP="008469E3">
      <w:pPr>
        <w:rPr>
          <w:rFonts w:ascii="Century Gothic" w:hAnsi="Century Gothic"/>
          <w:u w:val="single"/>
        </w:rPr>
      </w:pPr>
      <w:r w:rsidRPr="006D263B">
        <w:rPr>
          <w:rFonts w:ascii="Century Gothic" w:hAnsi="Century Gothic"/>
          <w:u w:val="single"/>
        </w:rPr>
        <w:t>L’inaptitude</w:t>
      </w:r>
    </w:p>
    <w:p w:rsidR="008469E3" w:rsidRDefault="008469E3" w:rsidP="008469E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Un seul rendez-vous avec le médecin du travail</w:t>
      </w:r>
      <w:r w:rsidR="006D263B">
        <w:rPr>
          <w:rFonts w:ascii="Century Gothic" w:hAnsi="Century Gothic"/>
        </w:rPr>
        <w:t>.</w:t>
      </w:r>
    </w:p>
    <w:p w:rsidR="008469E3" w:rsidRDefault="008469E3" w:rsidP="008469E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Délais réduits pour la procédure</w:t>
      </w:r>
    </w:p>
    <w:p w:rsidR="008469E3" w:rsidRDefault="008469E3" w:rsidP="008469E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L’avis d’inaptitude ne peut être constaté que par le médecin du travail sous 4 conditions.</w:t>
      </w:r>
    </w:p>
    <w:p w:rsidR="008469E3" w:rsidRDefault="008469E3" w:rsidP="008469E3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Un examen médical du salarié</w:t>
      </w:r>
    </w:p>
    <w:p w:rsidR="008469E3" w:rsidRDefault="008469E3" w:rsidP="008469E3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Une étude du poste</w:t>
      </w:r>
    </w:p>
    <w:p w:rsidR="008469E3" w:rsidRDefault="008469E3" w:rsidP="008469E3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Une étude des conditions de travail</w:t>
      </w:r>
    </w:p>
    <w:p w:rsidR="008469E3" w:rsidRDefault="008469E3" w:rsidP="008469E3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Un échange avec l’employeur pour  recueillir ses observations sur l’avis envisagé. </w:t>
      </w:r>
    </w:p>
    <w:p w:rsidR="008469E3" w:rsidRDefault="008469E3" w:rsidP="008469E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Dispense de reclassement quand le médecin du travail mentionne expressément « que le maintien du salarié dans un emploi serait gravement préjudiciable à sa santé ou que l’état de santé du salarié fait obstacle à tout reclassement dans un emploi ».</w:t>
      </w:r>
    </w:p>
    <w:p w:rsidR="002410F0" w:rsidRDefault="002410F0" w:rsidP="008469E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La recherche  d’un poste dans un autre établissement n’est plus nécessaire : si toutefois cette recherche est faite, elle doit se faire après le licenciement et sans mentionner le terme de « reclassement ».</w:t>
      </w:r>
    </w:p>
    <w:p w:rsidR="002410F0" w:rsidRDefault="002410F0" w:rsidP="008469E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Consultation de la DUP obligatoire + la DDTE si le salarié est protégé.</w:t>
      </w:r>
    </w:p>
    <w:p w:rsidR="002410F0" w:rsidRDefault="002410F0" w:rsidP="008469E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La procédure de licenciement est mise en place dès qu’il y a impossibilité de reclassement, ou d’un refus des propositions de reclassement  par le salarié, ou la dispense de reclassement mentionnée à l’inaptitude.</w:t>
      </w:r>
    </w:p>
    <w:p w:rsidR="002410F0" w:rsidRDefault="002410F0" w:rsidP="002410F0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Accueil des salariés en situation  de handicap.</w:t>
      </w:r>
    </w:p>
    <w:p w:rsidR="002410F0" w:rsidRPr="002410F0" w:rsidRDefault="002410F0" w:rsidP="002410F0">
      <w:pPr>
        <w:pStyle w:val="Paragraphedeliste"/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obligation d’accueil des salariés en situation de handicap dans une proportion de 6% de l’effectif total dès que le seuil des 20 salariés est atteint.</w:t>
      </w:r>
    </w:p>
    <w:p w:rsidR="002410F0" w:rsidRPr="00AC6E01" w:rsidRDefault="002410F0" w:rsidP="002410F0">
      <w:pPr>
        <w:pStyle w:val="Paragraphedeliste"/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Obligation de DOETH (Déclaration Obligatoire d’Emploi des Travailleurs Handicapés). Une pénalité peut  être versée au Trésor Public si l’employeur ne respecte pas le quota d’employeurs handicapés.</w:t>
      </w:r>
    </w:p>
    <w:p w:rsidR="00AC6E01" w:rsidRDefault="00AC6E01" w:rsidP="00AC6E0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Prévention des risques professionnels.</w:t>
      </w:r>
    </w:p>
    <w:p w:rsidR="00AC6E01" w:rsidRDefault="00AC6E01" w:rsidP="00AC6E01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Chaque employeur a une obligation de résultat et doit effectuer une évaluation des risques. Il doit mettre en place des mesures de protection.</w:t>
      </w:r>
    </w:p>
    <w:p w:rsidR="00AC6E01" w:rsidRDefault="00AC6E01" w:rsidP="00AC6E0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Compte personnel de prévention de la pénibilité C3P</w:t>
      </w:r>
    </w:p>
    <w:p w:rsidR="00AC6E01" w:rsidRPr="00AC6E01" w:rsidRDefault="00AC6E01" w:rsidP="00AC6E01">
      <w:pPr>
        <w:pStyle w:val="Paragraphedeliste"/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Certains salariés exposés  à des facteurs de pénibilité peuvent accumuler des points sur un compte personnel de prévention de la pénibilité (C3P).</w:t>
      </w:r>
    </w:p>
    <w:p w:rsidR="00AC6E01" w:rsidRPr="00AC6E01" w:rsidRDefault="00AC6E01" w:rsidP="00AC6E01">
      <w:pPr>
        <w:pStyle w:val="Paragraphedeliste"/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Une déclaration annuelle </w:t>
      </w:r>
      <w:r w:rsidR="006D263B">
        <w:rPr>
          <w:rFonts w:ascii="Century Gothic" w:hAnsi="Century Gothic"/>
        </w:rPr>
        <w:t xml:space="preserve">doit être faite </w:t>
      </w:r>
      <w:bookmarkStart w:id="0" w:name="_GoBack"/>
      <w:bookmarkEnd w:id="0"/>
      <w:r>
        <w:rPr>
          <w:rFonts w:ascii="Century Gothic" w:hAnsi="Century Gothic"/>
        </w:rPr>
        <w:t>auprès de la CNAV ou la CARSAT.</w:t>
      </w:r>
    </w:p>
    <w:p w:rsidR="00AC6E01" w:rsidRPr="00AC6E01" w:rsidRDefault="00AC6E01" w:rsidP="00AC6E01">
      <w:pPr>
        <w:pStyle w:val="Paragraphedeliste"/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Une cotisation a été mise en place pour tous les employeurs depuis le 1</w:t>
      </w:r>
      <w:r w:rsidRPr="00AC6E01">
        <w:rPr>
          <w:rFonts w:ascii="Century Gothic" w:hAnsi="Century Gothic"/>
          <w:vertAlign w:val="superscript"/>
        </w:rPr>
        <w:t>er</w:t>
      </w:r>
      <w:r>
        <w:rPr>
          <w:rFonts w:ascii="Century Gothic" w:hAnsi="Century Gothic"/>
        </w:rPr>
        <w:t xml:space="preserve"> janvier 2017.</w:t>
      </w:r>
    </w:p>
    <w:p w:rsidR="00AC6E01" w:rsidRDefault="00AC6E01" w:rsidP="00AC6E0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Compte personnel d’activité (CPA)</w:t>
      </w:r>
    </w:p>
    <w:p w:rsidR="00AC6E01" w:rsidRDefault="00AC6E01" w:rsidP="00AC6E01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Il centralise :</w:t>
      </w:r>
    </w:p>
    <w:p w:rsidR="00AC6E01" w:rsidRDefault="00AC6E01" w:rsidP="00AC6E01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Le compte personnel de formation (CPF)</w:t>
      </w:r>
    </w:p>
    <w:p w:rsidR="00AC6E01" w:rsidRDefault="00AC6E01" w:rsidP="00AC6E01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Le compte personnel de prévention de la pénibilité (C3P)</w:t>
      </w:r>
    </w:p>
    <w:p w:rsidR="00AC6E01" w:rsidRDefault="00AC6E01" w:rsidP="00AC6E01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Le compte d’engagement citoyen (CEC)</w:t>
      </w:r>
    </w:p>
    <w:p w:rsidR="006D263B" w:rsidRPr="006D263B" w:rsidRDefault="006D263B" w:rsidP="006D263B">
      <w:pPr>
        <w:rPr>
          <w:rFonts w:ascii="Century Gothic" w:hAnsi="Century Gothic"/>
          <w:u w:val="single"/>
        </w:rPr>
      </w:pPr>
      <w:r w:rsidRPr="006D263B">
        <w:rPr>
          <w:rFonts w:ascii="Century Gothic" w:hAnsi="Century Gothic"/>
          <w:u w:val="single"/>
        </w:rPr>
        <w:t>Le document unique d’évaluation des risques professionnels (DUERP)</w:t>
      </w:r>
    </w:p>
    <w:p w:rsidR="006D263B" w:rsidRDefault="006D263B" w:rsidP="006D263B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Evaluation des risques par l’employeur avec identification des dangers et estimation de la gravité/probabilité d’apparition.</w:t>
      </w:r>
    </w:p>
    <w:p w:rsidR="006D263B" w:rsidRDefault="006D263B" w:rsidP="006D263B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Mise à jour au moins chaque année.</w:t>
      </w:r>
    </w:p>
    <w:p w:rsidR="006D263B" w:rsidRDefault="006D263B" w:rsidP="006D263B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Mise à disposition à tous les membres de l’établissement.</w:t>
      </w:r>
    </w:p>
    <w:p w:rsidR="006D263B" w:rsidRDefault="006D263B" w:rsidP="006D263B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La fiche d’entreprise.</w:t>
      </w:r>
    </w:p>
    <w:p w:rsidR="006D263B" w:rsidRDefault="006D263B" w:rsidP="006D263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Elle est établie  et mise à jour par le médecin du travail.</w:t>
      </w:r>
    </w:p>
    <w:p w:rsidR="006D263B" w:rsidRPr="006D263B" w:rsidRDefault="006D263B" w:rsidP="006D263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Elle est transmise à l’employeur qui la tient à disposition de l’inspecteur du travail, des agents des services de prévention des caisses régionales d’assurance maladie. Elle est présentée également au CHSCT,</w:t>
      </w:r>
    </w:p>
    <w:p w:rsidR="00AC6E01" w:rsidRPr="00AC6E01" w:rsidRDefault="00AC6E01" w:rsidP="00AC6E01">
      <w:pPr>
        <w:rPr>
          <w:rFonts w:ascii="Century Gothic" w:hAnsi="Century Gothic"/>
          <w:u w:val="single"/>
        </w:rPr>
      </w:pPr>
    </w:p>
    <w:p w:rsidR="00884E56" w:rsidRPr="009B598E" w:rsidRDefault="00884E56" w:rsidP="00884E56">
      <w:pPr>
        <w:pStyle w:val="Paragraphedeliste"/>
        <w:rPr>
          <w:rFonts w:ascii="Century Gothic" w:hAnsi="Century Gothic"/>
        </w:rPr>
      </w:pPr>
    </w:p>
    <w:sectPr w:rsidR="00884E56" w:rsidRPr="009B598E" w:rsidSect="001C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5DF5"/>
    <w:multiLevelType w:val="hybridMultilevel"/>
    <w:tmpl w:val="AAD66F94"/>
    <w:lvl w:ilvl="0" w:tplc="FA5EB066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8448A"/>
    <w:multiLevelType w:val="hybridMultilevel"/>
    <w:tmpl w:val="435EC3B8"/>
    <w:lvl w:ilvl="0" w:tplc="1AF8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B598E"/>
    <w:rsid w:val="001C6EFA"/>
    <w:rsid w:val="002410F0"/>
    <w:rsid w:val="006D263B"/>
    <w:rsid w:val="007E095C"/>
    <w:rsid w:val="008469E3"/>
    <w:rsid w:val="00884E56"/>
    <w:rsid w:val="009B598E"/>
    <w:rsid w:val="00AC6E01"/>
    <w:rsid w:val="00F8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MACOMBE</dc:creator>
  <cp:lastModifiedBy>frolivier</cp:lastModifiedBy>
  <cp:revision>2</cp:revision>
  <dcterms:created xsi:type="dcterms:W3CDTF">2017-05-18T16:24:00Z</dcterms:created>
  <dcterms:modified xsi:type="dcterms:W3CDTF">2017-05-18T16:24:00Z</dcterms:modified>
</cp:coreProperties>
</file>